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5375B" w14:paraId="3420309B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37FE5C1A" w14:textId="69260C59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1.: </w:t>
            </w:r>
            <w:r w:rsidR="004C0E29" w:rsidRPr="006A35F1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Pénzügyi kimutatások értelmezése és kapcsolataik</w:t>
            </w:r>
          </w:p>
        </w:tc>
      </w:tr>
      <w:tr w:rsidR="00A5375B" w14:paraId="31D69D15" w14:textId="77777777" w:rsidTr="004C0E29">
        <w:trPr>
          <w:trHeight w:val="1567"/>
        </w:trPr>
        <w:tc>
          <w:tcPr>
            <w:tcW w:w="14454" w:type="dxa"/>
            <w:vAlign w:val="center"/>
          </w:tcPr>
          <w:p w14:paraId="62C9BC04" w14:textId="77777777" w:rsidR="004C0E29" w:rsidRDefault="004C0E29" w:rsidP="004C0E29">
            <w:pPr>
              <w:pStyle w:val="Listaszerbekezds"/>
              <w:numPr>
                <w:ilvl w:val="0"/>
                <w:numId w:val="9"/>
              </w:numPr>
            </w:pPr>
            <w:r>
              <w:t>Miért vannak vállalatok?</w:t>
            </w:r>
          </w:p>
          <w:p w14:paraId="703ECF06" w14:textId="77777777" w:rsidR="004C0E29" w:rsidRDefault="004C0E29" w:rsidP="004C0E29">
            <w:pPr>
              <w:pStyle w:val="Listaszerbekezds"/>
              <w:numPr>
                <w:ilvl w:val="0"/>
                <w:numId w:val="9"/>
              </w:numPr>
            </w:pPr>
            <w:r>
              <w:t>A mérleg szerkezete és értelmezése</w:t>
            </w:r>
          </w:p>
          <w:p w14:paraId="349916C3" w14:textId="77777777" w:rsidR="004C0E29" w:rsidRDefault="004C0E29" w:rsidP="004C0E29">
            <w:pPr>
              <w:pStyle w:val="Listaszerbekezds"/>
              <w:numPr>
                <w:ilvl w:val="0"/>
                <w:numId w:val="9"/>
              </w:numPr>
            </w:pPr>
            <w:r>
              <w:t>Az eredménykimutatás elemzése</w:t>
            </w:r>
          </w:p>
          <w:p w14:paraId="700AFACC" w14:textId="77777777" w:rsidR="004C0E29" w:rsidRDefault="004C0E29" w:rsidP="004C0E29">
            <w:pPr>
              <w:pStyle w:val="Listaszerbekezds"/>
              <w:numPr>
                <w:ilvl w:val="0"/>
                <w:numId w:val="9"/>
              </w:numPr>
            </w:pPr>
            <w:r>
              <w:t>A cash flow kimutatás jelentősége és kapcsolata a számviteli beszámolóval</w:t>
            </w:r>
          </w:p>
          <w:p w14:paraId="47E83218" w14:textId="70445AA5" w:rsidR="00A5375B" w:rsidRPr="00C2096D" w:rsidRDefault="004C0E29" w:rsidP="004C0E29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t>Az ideális kimutatásszerkezet illúziója</w:t>
            </w:r>
          </w:p>
        </w:tc>
      </w:tr>
      <w:tr w:rsidR="00A5375B" w14:paraId="0688F164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11550AB8" w14:textId="2488D07A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2.: </w:t>
            </w:r>
            <w:r w:rsidR="004C0E29" w:rsidRPr="003C56EC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A kimutatások elemzése: pénzügyi mutatószámok</w:t>
            </w:r>
          </w:p>
        </w:tc>
      </w:tr>
      <w:tr w:rsidR="00A5375B" w14:paraId="4494AD88" w14:textId="77777777" w:rsidTr="004C0E29">
        <w:trPr>
          <w:trHeight w:val="1568"/>
        </w:trPr>
        <w:tc>
          <w:tcPr>
            <w:tcW w:w="14454" w:type="dxa"/>
            <w:vAlign w:val="center"/>
          </w:tcPr>
          <w:p w14:paraId="67C59943" w14:textId="77777777" w:rsidR="004C0E29" w:rsidRDefault="004C0E29" w:rsidP="004C0E29">
            <w:pPr>
              <w:pStyle w:val="Listaszerbekezds"/>
              <w:numPr>
                <w:ilvl w:val="0"/>
                <w:numId w:val="6"/>
              </w:numPr>
            </w:pPr>
            <w:r>
              <w:t>Horizontális és vertikális mutatók</w:t>
            </w:r>
          </w:p>
          <w:p w14:paraId="2295974D" w14:textId="77777777" w:rsidR="004C0E29" w:rsidRDefault="004C0E29" w:rsidP="004C0E29">
            <w:pPr>
              <w:pStyle w:val="Listaszerbekezds"/>
              <w:numPr>
                <w:ilvl w:val="0"/>
                <w:numId w:val="6"/>
              </w:numPr>
            </w:pP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elemzés</w:t>
            </w:r>
          </w:p>
          <w:p w14:paraId="5FDA3764" w14:textId="77777777" w:rsidR="004C0E29" w:rsidRPr="00D368F4" w:rsidRDefault="004C0E29" w:rsidP="004C0E29">
            <w:pPr>
              <w:pStyle w:val="Listaszerbekezds"/>
              <w:numPr>
                <w:ilvl w:val="0"/>
                <w:numId w:val="6"/>
              </w:numPr>
            </w:pPr>
            <w:r>
              <w:t>Hatékonysági, likviditási, tőkeáttételi, jövedelmezőségi és piaci mutatók</w:t>
            </w:r>
          </w:p>
          <w:p w14:paraId="518BF009" w14:textId="77777777" w:rsidR="004C0E29" w:rsidRDefault="004C0E29" w:rsidP="004C0E29">
            <w:pPr>
              <w:pStyle w:val="Listaszerbekezds"/>
              <w:numPr>
                <w:ilvl w:val="0"/>
                <w:numId w:val="6"/>
              </w:numPr>
            </w:pPr>
            <w:r>
              <w:t>Du Pont elemzés</w:t>
            </w:r>
          </w:p>
          <w:p w14:paraId="684545D3" w14:textId="00847B04" w:rsidR="00A5375B" w:rsidRPr="00D368F4" w:rsidRDefault="004C0E29" w:rsidP="004C0E29">
            <w:pPr>
              <w:pStyle w:val="Listaszerbekezds"/>
              <w:numPr>
                <w:ilvl w:val="0"/>
                <w:numId w:val="6"/>
              </w:numPr>
            </w:pPr>
            <w:r>
              <w:t>Stratégiai választások hatása a mutatószámokra</w:t>
            </w:r>
          </w:p>
        </w:tc>
      </w:tr>
      <w:tr w:rsidR="00A5375B" w14:paraId="15457C37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16D21A3E" w14:textId="204FCB83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3.: </w:t>
            </w:r>
            <w:r w:rsidR="004C0E29" w:rsidRPr="006A35F1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Az üzleti cash flow számítása és értelmezése</w:t>
            </w:r>
          </w:p>
        </w:tc>
      </w:tr>
      <w:tr w:rsidR="00A5375B" w14:paraId="63E78A10" w14:textId="77777777" w:rsidTr="00C548A6">
        <w:trPr>
          <w:trHeight w:val="1491"/>
        </w:trPr>
        <w:tc>
          <w:tcPr>
            <w:tcW w:w="14454" w:type="dxa"/>
            <w:vAlign w:val="center"/>
          </w:tcPr>
          <w:p w14:paraId="6CC7BECB" w14:textId="77777777" w:rsidR="004C0E29" w:rsidRDefault="004C0E29" w:rsidP="004C0E29">
            <w:pPr>
              <w:pStyle w:val="Listaszerbekezds"/>
              <w:numPr>
                <w:ilvl w:val="0"/>
                <w:numId w:val="8"/>
              </w:numPr>
              <w:ind w:left="731"/>
            </w:pPr>
            <w:r>
              <w:t>A beszámolók korrekciói</w:t>
            </w:r>
          </w:p>
          <w:p w14:paraId="45EF64E9" w14:textId="77777777" w:rsidR="004C0E29" w:rsidRDefault="004C0E29" w:rsidP="004C0E29">
            <w:pPr>
              <w:pStyle w:val="Listaszerbekezds"/>
              <w:numPr>
                <w:ilvl w:val="0"/>
                <w:numId w:val="8"/>
              </w:numPr>
              <w:ind w:left="731"/>
            </w:pPr>
            <w:r>
              <w:t>A szokásos üzleti működés azonosítása</w:t>
            </w:r>
          </w:p>
          <w:p w14:paraId="0BFF1F88" w14:textId="77777777" w:rsidR="004C0E29" w:rsidRDefault="004C0E29" w:rsidP="004C0E29">
            <w:pPr>
              <w:pStyle w:val="Listaszerbekezds"/>
              <w:numPr>
                <w:ilvl w:val="0"/>
                <w:numId w:val="8"/>
              </w:numPr>
              <w:ind w:left="731"/>
            </w:pPr>
            <w:r>
              <w:t>Az üzleti és a számviteli cash flow kimutatás eltérései</w:t>
            </w:r>
          </w:p>
          <w:p w14:paraId="751FE6D6" w14:textId="55695290" w:rsidR="00A5375B" w:rsidRPr="00D368F4" w:rsidRDefault="004C0E29" w:rsidP="004C0E29">
            <w:pPr>
              <w:pStyle w:val="Listaszerbekezds"/>
              <w:numPr>
                <w:ilvl w:val="0"/>
                <w:numId w:val="8"/>
              </w:numPr>
              <w:ind w:left="731"/>
            </w:pPr>
            <w:r>
              <w:t>Az üzleti cash flow főbb sorainak értelmezése és használata üzleti döntésekhez</w:t>
            </w:r>
          </w:p>
        </w:tc>
      </w:tr>
      <w:tr w:rsidR="00A5375B" w14:paraId="0F06E3AF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44A87E6D" w14:textId="7DEFC8A3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4.: </w:t>
            </w:r>
            <w:r w:rsidR="004C0E29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Pénzügyi tervezés: á</w:t>
            </w:r>
            <w:r w:rsidR="004C0E29" w:rsidRPr="006A35F1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gazati, finanszírozási és életciklus sajátosságok</w:t>
            </w:r>
          </w:p>
        </w:tc>
      </w:tr>
      <w:tr w:rsidR="00A5375B" w14:paraId="0A2C859F" w14:textId="77777777" w:rsidTr="00C548A6">
        <w:trPr>
          <w:trHeight w:val="1694"/>
        </w:trPr>
        <w:tc>
          <w:tcPr>
            <w:tcW w:w="14454" w:type="dxa"/>
            <w:vAlign w:val="center"/>
          </w:tcPr>
          <w:p w14:paraId="42E77B46" w14:textId="77777777" w:rsidR="004C0E29" w:rsidRPr="00344EF4" w:rsidRDefault="004C0E29" w:rsidP="004C0E29">
            <w:pPr>
              <w:pStyle w:val="Listaszerbekezds"/>
              <w:numPr>
                <w:ilvl w:val="0"/>
                <w:numId w:val="11"/>
              </w:numPr>
              <w:ind w:left="731"/>
            </w:pPr>
            <w:r>
              <w:t>A pénzügyi tervezés megközelítései</w:t>
            </w:r>
          </w:p>
          <w:p w14:paraId="4571158E" w14:textId="77777777" w:rsidR="004C0E29" w:rsidRDefault="004C0E29" w:rsidP="004C0E29">
            <w:pPr>
              <w:pStyle w:val="Listaszerbekezds"/>
              <w:numPr>
                <w:ilvl w:val="0"/>
                <w:numId w:val="11"/>
              </w:numPr>
              <w:ind w:left="731"/>
            </w:pPr>
            <w:r>
              <w:t>A mérlegegyezőség biztosításának módjai</w:t>
            </w:r>
          </w:p>
          <w:p w14:paraId="1E54BC5C" w14:textId="77777777" w:rsidR="004C0E29" w:rsidRPr="00344EF4" w:rsidRDefault="004C0E29" w:rsidP="004C0E29">
            <w:pPr>
              <w:pStyle w:val="Listaszerbekezds"/>
              <w:numPr>
                <w:ilvl w:val="0"/>
                <w:numId w:val="11"/>
              </w:numPr>
              <w:ind w:left="731"/>
            </w:pPr>
            <w:r>
              <w:t>A kimutatások tervezésének mente</w:t>
            </w:r>
          </w:p>
          <w:p w14:paraId="33CACBBF" w14:textId="77777777" w:rsidR="004C0E29" w:rsidRPr="00344EF4" w:rsidRDefault="004C0E29" w:rsidP="004C0E29">
            <w:pPr>
              <w:pStyle w:val="Listaszerbekezds"/>
              <w:numPr>
                <w:ilvl w:val="0"/>
                <w:numId w:val="11"/>
              </w:numPr>
              <w:ind w:left="731"/>
            </w:pPr>
            <w:r w:rsidRPr="00344EF4">
              <w:t>Visszaforgatás, tőkeemelés, leszállítás, osztalékelőrejelzés</w:t>
            </w:r>
          </w:p>
          <w:p w14:paraId="1E825CBD" w14:textId="05F72C51" w:rsidR="00A5375B" w:rsidRPr="004C0E29" w:rsidRDefault="004C0E29" w:rsidP="004C0E29">
            <w:pPr>
              <w:pStyle w:val="Listaszerbekezds"/>
              <w:numPr>
                <w:ilvl w:val="0"/>
                <w:numId w:val="11"/>
              </w:numPr>
              <w:ind w:left="731"/>
              <w:rPr>
                <w:rFonts w:ascii="Times New Roman" w:hAnsi="Times New Roman"/>
              </w:rPr>
            </w:pPr>
            <w:r w:rsidRPr="00344EF4">
              <w:t xml:space="preserve">Pénzügyi modellek összeállításának </w:t>
            </w:r>
            <w:r>
              <w:t>legjobb gyakorlatai</w:t>
            </w:r>
          </w:p>
        </w:tc>
      </w:tr>
    </w:tbl>
    <w:p w14:paraId="690ED8C3" w14:textId="77777777" w:rsidR="003963B2" w:rsidRDefault="003963B2"/>
    <w:sectPr w:rsidR="003963B2" w:rsidSect="0091056A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7357" w14:textId="77777777" w:rsidR="00715BFC" w:rsidRDefault="00715BFC" w:rsidP="0091056A">
      <w:r>
        <w:separator/>
      </w:r>
    </w:p>
  </w:endnote>
  <w:endnote w:type="continuationSeparator" w:id="0">
    <w:p w14:paraId="7EEA5633" w14:textId="77777777" w:rsidR="00715BFC" w:rsidRDefault="00715BFC" w:rsidP="009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F314" w14:textId="77777777" w:rsidR="0091056A" w:rsidRPr="0091056A" w:rsidRDefault="00A5375B">
    <w:pPr>
      <w:pStyle w:val="llb"/>
      <w:rPr>
        <w:rFonts w:ascii="Calibri" w:hAnsi="Calibri" w:cs="Calibri"/>
        <w:color w:val="BFBFBF" w:themeColor="background1" w:themeShade="BF"/>
      </w:rPr>
    </w:pPr>
    <w:r>
      <w:rPr>
        <w:rFonts w:ascii="Calibri" w:hAnsi="Calibri" w:cs="Calibri"/>
        <w:color w:val="BFBFBF" w:themeColor="background1" w:themeShade="BF"/>
      </w:rPr>
      <w:t>A kurzustartalommal kapcsolatos változás jogát fenntartjuk!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7175" w14:textId="77777777" w:rsidR="00715BFC" w:rsidRDefault="00715BFC" w:rsidP="0091056A">
      <w:r>
        <w:separator/>
      </w:r>
    </w:p>
  </w:footnote>
  <w:footnote w:type="continuationSeparator" w:id="0">
    <w:p w14:paraId="31C6F644" w14:textId="77777777" w:rsidR="00715BFC" w:rsidRDefault="00715BFC" w:rsidP="009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7979" w14:textId="4A7508A9" w:rsidR="0091056A" w:rsidRDefault="0091056A">
    <w:pPr>
      <w:pStyle w:val="lfej"/>
    </w:pPr>
    <w:r w:rsidRPr="00C2096D">
      <w:rPr>
        <w:rFonts w:ascii="Calibri" w:hAnsi="Calibri" w:cs="Calibr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 wp14:anchorId="1A9761F3" wp14:editId="3C957282">
          <wp:simplePos x="0" y="0"/>
          <wp:positionH relativeFrom="column">
            <wp:posOffset>7751445</wp:posOffset>
          </wp:positionH>
          <wp:positionV relativeFrom="paragraph">
            <wp:posOffset>-96813</wp:posOffset>
          </wp:positionV>
          <wp:extent cx="1546860" cy="3714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77" b="24907"/>
                  <a:stretch/>
                </pic:blipFill>
                <pic:spPr bwMode="auto">
                  <a:xfrm>
                    <a:off x="0" y="0"/>
                    <a:ext cx="154686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49">
      <w:rPr>
        <w:rFonts w:ascii="Calibri" w:hAnsi="Calibri" w:cs="Calibri"/>
        <w:b/>
        <w:bCs/>
        <w:noProof/>
        <w:color w:val="002060"/>
        <w:sz w:val="28"/>
        <w:szCs w:val="28"/>
      </w:rPr>
      <w:t xml:space="preserve">KURZUS </w:t>
    </w:r>
    <w:r w:rsidR="003410C2">
      <w:rPr>
        <w:rFonts w:ascii="Calibri" w:hAnsi="Calibri" w:cs="Calibri"/>
        <w:b/>
        <w:bCs/>
        <w:noProof/>
        <w:color w:val="002060"/>
        <w:sz w:val="28"/>
        <w:szCs w:val="28"/>
      </w:rPr>
      <w:t xml:space="preserve">FELÉPÍTÉSE </w:t>
    </w:r>
    <w:r w:rsidR="003410C2" w:rsidRPr="00C2096D">
      <w:rPr>
        <w:rFonts w:ascii="Calibri" w:hAnsi="Calibri" w:cs="Calibri"/>
        <w:b/>
        <w:bCs/>
        <w:color w:val="002060"/>
        <w:sz w:val="20"/>
        <w:szCs w:val="20"/>
      </w:rPr>
      <w:t>/</w:t>
    </w:r>
    <w:r>
      <w:rPr>
        <w:rFonts w:ascii="Calibri" w:hAnsi="Calibri" w:cs="Calibri"/>
        <w:b/>
        <w:bCs/>
        <w:color w:val="002060"/>
        <w:sz w:val="20"/>
        <w:szCs w:val="20"/>
      </w:rPr>
      <w:t xml:space="preserve"> </w:t>
    </w:r>
    <w:r w:rsidR="004C0E29" w:rsidRPr="004C0E29">
      <w:rPr>
        <w:rFonts w:ascii="Calibri" w:hAnsi="Calibri" w:cs="Calibri"/>
        <w:b/>
        <w:bCs/>
        <w:noProof/>
        <w:color w:val="002060"/>
        <w:sz w:val="28"/>
        <w:szCs w:val="28"/>
      </w:rPr>
      <w:t>Vállalati pénzügyi kimutatások elemzése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D6E"/>
    <w:multiLevelType w:val="hybridMultilevel"/>
    <w:tmpl w:val="D0D4D7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332C3"/>
    <w:multiLevelType w:val="hybridMultilevel"/>
    <w:tmpl w:val="494410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DCE"/>
    <w:multiLevelType w:val="hybridMultilevel"/>
    <w:tmpl w:val="450A0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3534"/>
    <w:multiLevelType w:val="hybridMultilevel"/>
    <w:tmpl w:val="3FB8EA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541F8"/>
    <w:multiLevelType w:val="hybridMultilevel"/>
    <w:tmpl w:val="02DE4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493"/>
    <w:multiLevelType w:val="hybridMultilevel"/>
    <w:tmpl w:val="0770A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44B5"/>
    <w:multiLevelType w:val="hybridMultilevel"/>
    <w:tmpl w:val="B63006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C7A4B"/>
    <w:multiLevelType w:val="hybridMultilevel"/>
    <w:tmpl w:val="AA92368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38AC"/>
    <w:multiLevelType w:val="multilevel"/>
    <w:tmpl w:val="A3E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B408B"/>
    <w:multiLevelType w:val="hybridMultilevel"/>
    <w:tmpl w:val="4C4C6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7645D"/>
    <w:multiLevelType w:val="hybridMultilevel"/>
    <w:tmpl w:val="25D4A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24887">
    <w:abstractNumId w:val="2"/>
  </w:num>
  <w:num w:numId="2" w16cid:durableId="34544541">
    <w:abstractNumId w:val="7"/>
  </w:num>
  <w:num w:numId="3" w16cid:durableId="1575512167">
    <w:abstractNumId w:val="1"/>
  </w:num>
  <w:num w:numId="4" w16cid:durableId="197016158">
    <w:abstractNumId w:val="8"/>
  </w:num>
  <w:num w:numId="5" w16cid:durableId="1291982684">
    <w:abstractNumId w:val="5"/>
  </w:num>
  <w:num w:numId="6" w16cid:durableId="1513491070">
    <w:abstractNumId w:val="4"/>
  </w:num>
  <w:num w:numId="7" w16cid:durableId="1477990531">
    <w:abstractNumId w:val="10"/>
  </w:num>
  <w:num w:numId="8" w16cid:durableId="723525652">
    <w:abstractNumId w:val="6"/>
  </w:num>
  <w:num w:numId="9" w16cid:durableId="1615821943">
    <w:abstractNumId w:val="9"/>
  </w:num>
  <w:num w:numId="10" w16cid:durableId="600843015">
    <w:abstractNumId w:val="0"/>
  </w:num>
  <w:num w:numId="11" w16cid:durableId="967471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29"/>
    <w:rsid w:val="003410C2"/>
    <w:rsid w:val="003963B2"/>
    <w:rsid w:val="004C0E29"/>
    <w:rsid w:val="00715BFC"/>
    <w:rsid w:val="0091056A"/>
    <w:rsid w:val="00954BC4"/>
    <w:rsid w:val="00A5375B"/>
    <w:rsid w:val="00AA2C8A"/>
    <w:rsid w:val="00F030A8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6AC0"/>
  <w15:chartTrackingRefBased/>
  <w15:docId w15:val="{03DE2BAA-B829-4FAC-BEA7-2960EE2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56A"/>
    <w:rPr>
      <w:rFonts w:ascii="Times New Roman" w:eastAsia="Times New Roman" w:hAnsi="Times New Roman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C0E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5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39"/>
    <w:rsid w:val="0091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C0E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5_SABLONTAR\02_Uzletfejlesztes\WEBLAP_Kurzus_felepites_SABLON_v1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WEBLAP_Kurzus_felepites_SABLON_v1.0</Template>
  <TotalTime>4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Kaltenecker</dc:creator>
  <cp:keywords/>
  <dc:description/>
  <cp:lastModifiedBy>Kaltenecker Károly</cp:lastModifiedBy>
  <cp:revision>1</cp:revision>
  <dcterms:created xsi:type="dcterms:W3CDTF">2022-04-25T12:40:00Z</dcterms:created>
  <dcterms:modified xsi:type="dcterms:W3CDTF">2022-04-25T12:45:00Z</dcterms:modified>
</cp:coreProperties>
</file>